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6B" w:rsidRPr="002F08C7" w:rsidRDefault="003D3D6B" w:rsidP="00D22D4A">
      <w:pPr>
        <w:pStyle w:val="Title"/>
        <w:spacing w:before="360"/>
        <w:rPr>
          <w:rFonts w:cs="Arial"/>
          <w:b/>
          <w:bCs/>
          <w:color w:val="7030A0"/>
          <w:sz w:val="52"/>
          <w:szCs w:val="52"/>
        </w:rPr>
      </w:pPr>
      <w:r w:rsidRPr="002F08C7">
        <w:rPr>
          <w:b/>
          <w:bCs/>
          <w:color w:val="7030A0"/>
          <w:sz w:val="52"/>
          <w:szCs w:val="52"/>
        </w:rPr>
        <w:t xml:space="preserve">Behandlung </w:t>
      </w:r>
      <w:r>
        <w:rPr>
          <w:b/>
          <w:bCs/>
          <w:color w:val="7030A0"/>
          <w:sz w:val="52"/>
          <w:szCs w:val="52"/>
        </w:rPr>
        <w:t xml:space="preserve">bereits </w:t>
      </w:r>
      <w:r w:rsidRPr="002F08C7">
        <w:rPr>
          <w:b/>
          <w:bCs/>
          <w:color w:val="7030A0"/>
          <w:sz w:val="52"/>
          <w:szCs w:val="52"/>
        </w:rPr>
        <w:t>eingereis</w:t>
      </w:r>
      <w:r>
        <w:rPr>
          <w:b/>
          <w:bCs/>
          <w:color w:val="7030A0"/>
          <w:sz w:val="52"/>
          <w:szCs w:val="52"/>
        </w:rPr>
        <w:t>ter / ei</w:t>
      </w:r>
      <w:r>
        <w:rPr>
          <w:b/>
          <w:bCs/>
          <w:color w:val="7030A0"/>
          <w:sz w:val="52"/>
          <w:szCs w:val="52"/>
        </w:rPr>
        <w:t>n</w:t>
      </w:r>
      <w:r>
        <w:rPr>
          <w:b/>
          <w:bCs/>
          <w:color w:val="7030A0"/>
          <w:sz w:val="52"/>
          <w:szCs w:val="52"/>
        </w:rPr>
        <w:t>reisewilliger Ausländer</w:t>
      </w:r>
    </w:p>
    <w:p w:rsidR="003D3D6B" w:rsidRPr="005F6904" w:rsidRDefault="003D3D6B" w:rsidP="005F6904">
      <w:pPr>
        <w:pStyle w:val="Heading1"/>
      </w:pPr>
      <w:r w:rsidRPr="005F6904">
        <w:t>Grundsätze</w:t>
      </w:r>
    </w:p>
    <w:p w:rsidR="003D3D6B" w:rsidRPr="002F08C7" w:rsidRDefault="003D3D6B" w:rsidP="002F08C7">
      <w:pPr>
        <w:pStyle w:val="ListParagraph"/>
        <w:numPr>
          <w:ilvl w:val="0"/>
          <w:numId w:val="5"/>
        </w:numPr>
        <w:spacing w:before="240" w:line="300" w:lineRule="exact"/>
        <w:ind w:left="851"/>
        <w:contextualSpacing w:val="0"/>
        <w:rPr>
          <w:b/>
          <w:bCs/>
        </w:rPr>
      </w:pPr>
      <w:r w:rsidRPr="002F08C7">
        <w:rPr>
          <w:b/>
          <w:bCs/>
        </w:rPr>
        <w:t>Alle im Folgenden Maßnahmen haben den Zweck, hier befindliche und noch ankommende Personen, deren Leben im Heimatland konkret und nachwei</w:t>
      </w:r>
      <w:r w:rsidRPr="002F08C7">
        <w:rPr>
          <w:b/>
          <w:bCs/>
        </w:rPr>
        <w:t>s</w:t>
      </w:r>
      <w:r w:rsidRPr="002F08C7">
        <w:rPr>
          <w:b/>
          <w:bCs/>
        </w:rPr>
        <w:t>bar bedroht ist, menschenwürdig unterzubringen, zu versorgen und in das Leben in der BRD zu integrieren.</w:t>
      </w:r>
      <w:r>
        <w:rPr>
          <w:b/>
          <w:bCs/>
        </w:rPr>
        <w:t xml:space="preserve"> </w:t>
      </w:r>
      <w:r w:rsidRPr="002F08C7">
        <w:rPr>
          <w:b/>
          <w:bCs/>
        </w:rPr>
        <w:t>(</w:t>
      </w:r>
      <w:r>
        <w:rPr>
          <w:b/>
          <w:bCs/>
        </w:rPr>
        <w:t>ca.</w:t>
      </w:r>
      <w:r w:rsidRPr="002F08C7">
        <w:rPr>
          <w:b/>
          <w:bCs/>
        </w:rPr>
        <w:t>2 %</w:t>
      </w:r>
      <w:r>
        <w:rPr>
          <w:b/>
          <w:bCs/>
        </w:rPr>
        <w:t xml:space="preserve"> der Zuwanderer</w:t>
      </w:r>
      <w:r w:rsidRPr="002F08C7">
        <w:rPr>
          <w:b/>
          <w:bCs/>
        </w:rPr>
        <w:t>)</w:t>
      </w:r>
    </w:p>
    <w:p w:rsidR="003D3D6B" w:rsidRPr="002F08C7" w:rsidRDefault="003D3D6B" w:rsidP="002F08C7">
      <w:pPr>
        <w:pStyle w:val="ListParagraph"/>
        <w:numPr>
          <w:ilvl w:val="0"/>
          <w:numId w:val="5"/>
        </w:numPr>
        <w:spacing w:before="240" w:line="300" w:lineRule="exact"/>
        <w:ind w:left="851"/>
        <w:contextualSpacing w:val="0"/>
        <w:rPr>
          <w:b/>
          <w:bCs/>
        </w:rPr>
      </w:pPr>
      <w:r w:rsidRPr="002F08C7">
        <w:rPr>
          <w:b/>
          <w:bCs/>
        </w:rPr>
        <w:t>Das Gleiche gilt für Menschen, die aufgrund ihrer Berufsausbildung in der BRD gebraucht werden.</w:t>
      </w:r>
    </w:p>
    <w:p w:rsidR="003D3D6B" w:rsidRPr="002F08C7" w:rsidRDefault="003D3D6B" w:rsidP="002F08C7">
      <w:pPr>
        <w:pStyle w:val="ListParagraph"/>
        <w:numPr>
          <w:ilvl w:val="0"/>
          <w:numId w:val="5"/>
        </w:numPr>
        <w:spacing w:before="240" w:line="300" w:lineRule="exact"/>
        <w:ind w:left="851"/>
        <w:contextualSpacing w:val="0"/>
        <w:rPr>
          <w:b/>
          <w:bCs/>
        </w:rPr>
      </w:pPr>
      <w:r w:rsidRPr="002F08C7">
        <w:rPr>
          <w:b/>
          <w:bCs/>
        </w:rPr>
        <w:t>Aufgrund der inzwischen eingetretenen menschenunwürdigen Zustände bei der Unterbringung/Verpflegung/Versorgung/Betreuung reichen kosmetische Veränderungen nicht mehr aus: Gravierende Veränderungen sind zwingend notwendig, geworden, um „normale“ Zustände wieder herzustellen</w:t>
      </w:r>
      <w:r>
        <w:rPr>
          <w:b/>
          <w:bCs/>
        </w:rPr>
        <w:t>.</w:t>
      </w:r>
    </w:p>
    <w:p w:rsidR="003D3D6B" w:rsidRPr="002F08C7" w:rsidRDefault="003D3D6B" w:rsidP="002F08C7">
      <w:pPr>
        <w:pStyle w:val="ListParagraph"/>
        <w:numPr>
          <w:ilvl w:val="0"/>
          <w:numId w:val="5"/>
        </w:numPr>
        <w:spacing w:before="240" w:line="300" w:lineRule="exact"/>
        <w:ind w:left="851"/>
        <w:contextualSpacing w:val="0"/>
        <w:rPr>
          <w:b/>
          <w:bCs/>
        </w:rPr>
      </w:pPr>
      <w:r w:rsidRPr="002F08C7">
        <w:rPr>
          <w:b/>
          <w:bCs/>
        </w:rPr>
        <w:t>Für Menschen, die vor und im Kj. 2014 eingereist sind, gibt es keine Veränd</w:t>
      </w:r>
      <w:r w:rsidRPr="002F08C7">
        <w:rPr>
          <w:b/>
          <w:bCs/>
        </w:rPr>
        <w:t>e</w:t>
      </w:r>
      <w:r w:rsidRPr="002F08C7">
        <w:rPr>
          <w:b/>
          <w:bCs/>
        </w:rPr>
        <w:t>rungen</w:t>
      </w:r>
      <w:r>
        <w:rPr>
          <w:b/>
          <w:bCs/>
        </w:rPr>
        <w:t>.</w:t>
      </w:r>
    </w:p>
    <w:p w:rsidR="003D3D6B" w:rsidRDefault="003D3D6B" w:rsidP="007E0673">
      <w:pPr>
        <w:pStyle w:val="Heading1"/>
      </w:pPr>
      <w:r>
        <w:t>Für Personen, die ab 01.01.2015 eingereist sind bzw. noch einreisen wollen, gilt:</w:t>
      </w:r>
    </w:p>
    <w:p w:rsidR="003D3D6B" w:rsidRDefault="003D3D6B" w:rsidP="002D2EB8">
      <w:pPr>
        <w:spacing w:after="240"/>
      </w:pPr>
      <w:r w:rsidRPr="002D2EB8">
        <w:rPr>
          <w:b/>
          <w:bCs/>
          <w:sz w:val="28"/>
          <w:szCs w:val="28"/>
        </w:rPr>
        <w:t xml:space="preserve">An der Grenze </w:t>
      </w:r>
      <w:r>
        <w:rPr>
          <w:b/>
          <w:bCs/>
          <w:sz w:val="28"/>
          <w:szCs w:val="28"/>
        </w:rPr>
        <w:t xml:space="preserve">findet </w:t>
      </w:r>
      <w:r w:rsidRPr="002D2EB8">
        <w:rPr>
          <w:b/>
          <w:bCs/>
          <w:sz w:val="28"/>
          <w:szCs w:val="28"/>
        </w:rPr>
        <w:t xml:space="preserve">eine 48-Stunden Prüfung </w:t>
      </w:r>
      <w:r>
        <w:rPr>
          <w:b/>
          <w:bCs/>
          <w:sz w:val="28"/>
          <w:szCs w:val="28"/>
        </w:rPr>
        <w:t>statt</w:t>
      </w:r>
      <w:r w:rsidRPr="002D2EB8">
        <w:rPr>
          <w:b/>
          <w:bCs/>
          <w:sz w:val="28"/>
          <w:szCs w:val="28"/>
        </w:rPr>
        <w:t>, bei der nach fo</w:t>
      </w:r>
      <w:r w:rsidRPr="002D2EB8">
        <w:rPr>
          <w:b/>
          <w:bCs/>
          <w:sz w:val="28"/>
          <w:szCs w:val="28"/>
        </w:rPr>
        <w:t>l</w:t>
      </w:r>
      <w:r w:rsidRPr="002D2EB8">
        <w:rPr>
          <w:b/>
          <w:bCs/>
          <w:sz w:val="28"/>
          <w:szCs w:val="28"/>
        </w:rPr>
        <w:t>genden Kriterien entschieden wird</w:t>
      </w:r>
      <w:r w:rsidRPr="002F08C7">
        <w:rPr>
          <w:rStyle w:val="FootnoteReference"/>
          <w:rFonts w:cs="Arial"/>
          <w:b/>
          <w:bCs/>
          <w:sz w:val="32"/>
          <w:szCs w:val="32"/>
        </w:rPr>
        <w:footnoteReference w:id="1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709"/>
        <w:gridCol w:w="2977"/>
        <w:gridCol w:w="1457"/>
        <w:gridCol w:w="3239"/>
        <w:gridCol w:w="1297"/>
      </w:tblGrid>
      <w:tr w:rsidR="003D3D6B" w:rsidRPr="000552DD">
        <w:tc>
          <w:tcPr>
            <w:tcW w:w="709" w:type="dxa"/>
          </w:tcPr>
          <w:p w:rsidR="003D3D6B" w:rsidRPr="000552DD" w:rsidRDefault="003D3D6B">
            <w:pPr>
              <w:rPr>
                <w:b/>
                <w:bCs/>
              </w:rPr>
            </w:pPr>
            <w:r w:rsidRPr="000552DD">
              <w:rPr>
                <w:b/>
                <w:bCs/>
                <w:sz w:val="22"/>
                <w:szCs w:val="22"/>
              </w:rPr>
              <w:t>Lfd. Nr.</w:t>
            </w:r>
          </w:p>
        </w:tc>
        <w:tc>
          <w:tcPr>
            <w:tcW w:w="2977" w:type="dxa"/>
          </w:tcPr>
          <w:p w:rsidR="003D3D6B" w:rsidRPr="000552DD" w:rsidRDefault="003D3D6B">
            <w:pPr>
              <w:rPr>
                <w:b/>
                <w:bCs/>
              </w:rPr>
            </w:pPr>
            <w:r w:rsidRPr="000552DD">
              <w:rPr>
                <w:b/>
                <w:bCs/>
                <w:sz w:val="22"/>
                <w:szCs w:val="22"/>
              </w:rPr>
              <w:t>Kategorie</w:t>
            </w:r>
          </w:p>
        </w:tc>
        <w:tc>
          <w:tcPr>
            <w:tcW w:w="1457" w:type="dxa"/>
          </w:tcPr>
          <w:p w:rsidR="003D3D6B" w:rsidRPr="000552DD" w:rsidRDefault="003D3D6B">
            <w:pPr>
              <w:rPr>
                <w:b/>
                <w:bCs/>
              </w:rPr>
            </w:pPr>
            <w:r w:rsidRPr="000552DD">
              <w:rPr>
                <w:b/>
                <w:bCs/>
                <w:sz w:val="22"/>
                <w:szCs w:val="22"/>
              </w:rPr>
              <w:t>Asylantrag</w:t>
            </w:r>
          </w:p>
        </w:tc>
        <w:tc>
          <w:tcPr>
            <w:tcW w:w="3239" w:type="dxa"/>
          </w:tcPr>
          <w:p w:rsidR="003D3D6B" w:rsidRPr="000552DD" w:rsidRDefault="003D3D6B" w:rsidP="00EB0CC5">
            <w:pPr>
              <w:rPr>
                <w:b/>
                <w:bCs/>
              </w:rPr>
            </w:pPr>
            <w:r w:rsidRPr="000552DD">
              <w:rPr>
                <w:b/>
                <w:bCs/>
                <w:sz w:val="22"/>
                <w:szCs w:val="22"/>
              </w:rPr>
              <w:t>Versorgung/</w:t>
            </w:r>
            <w:r w:rsidRPr="000552DD">
              <w:rPr>
                <w:b/>
                <w:bCs/>
                <w:sz w:val="22"/>
                <w:szCs w:val="22"/>
              </w:rPr>
              <w:br/>
              <w:t>Sozialleistungen</w:t>
            </w:r>
          </w:p>
        </w:tc>
        <w:tc>
          <w:tcPr>
            <w:tcW w:w="1297" w:type="dxa"/>
          </w:tcPr>
          <w:p w:rsidR="003D3D6B" w:rsidRPr="000552DD" w:rsidRDefault="003D3D6B">
            <w:pPr>
              <w:rPr>
                <w:b/>
                <w:bCs/>
              </w:rPr>
            </w:pPr>
            <w:r w:rsidRPr="000552DD">
              <w:rPr>
                <w:b/>
                <w:bCs/>
                <w:sz w:val="22"/>
                <w:szCs w:val="22"/>
              </w:rPr>
              <w:t>Ein-/Ausreise</w:t>
            </w:r>
          </w:p>
        </w:tc>
      </w:tr>
      <w:tr w:rsidR="003D3D6B" w:rsidRPr="000552DD">
        <w:tc>
          <w:tcPr>
            <w:tcW w:w="70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Menschen, die aufgrund ko</w:t>
            </w:r>
            <w:r w:rsidRPr="000552DD">
              <w:rPr>
                <w:sz w:val="22"/>
                <w:szCs w:val="22"/>
              </w:rPr>
              <w:t>n</w:t>
            </w:r>
            <w:r w:rsidRPr="000552DD">
              <w:rPr>
                <w:sz w:val="22"/>
                <w:szCs w:val="22"/>
              </w:rPr>
              <w:t xml:space="preserve">kreter und nachweisbarer Gefährdung ihres Lebens in ihrer Heimat bedroht sind </w:t>
            </w:r>
            <w:r w:rsidRPr="000552DD">
              <w:rPr>
                <w:sz w:val="22"/>
                <w:szCs w:val="22"/>
              </w:rPr>
              <w:br/>
              <w:t>(ca. 2% der Zuwanderer)</w:t>
            </w:r>
          </w:p>
        </w:tc>
        <w:tc>
          <w:tcPr>
            <w:tcW w:w="145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Darf gestellt werden.</w:t>
            </w:r>
          </w:p>
        </w:tc>
        <w:tc>
          <w:tcPr>
            <w:tcW w:w="323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Wie bisher</w:t>
            </w:r>
          </w:p>
        </w:tc>
        <w:tc>
          <w:tcPr>
            <w:tcW w:w="129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Ausreise ist erlaubt</w:t>
            </w:r>
          </w:p>
        </w:tc>
      </w:tr>
      <w:tr w:rsidR="003D3D6B" w:rsidRPr="000552DD">
        <w:tc>
          <w:tcPr>
            <w:tcW w:w="70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Menschen, die aufgrund ihrer Berufsausbildung in der BRD gebraucht werden</w:t>
            </w:r>
          </w:p>
        </w:tc>
        <w:tc>
          <w:tcPr>
            <w:tcW w:w="145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Darf gestellt werden.</w:t>
            </w:r>
          </w:p>
        </w:tc>
        <w:tc>
          <w:tcPr>
            <w:tcW w:w="323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Wie bisher</w:t>
            </w:r>
          </w:p>
        </w:tc>
        <w:tc>
          <w:tcPr>
            <w:tcW w:w="129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Ausreise ist erlaubt</w:t>
            </w:r>
          </w:p>
        </w:tc>
      </w:tr>
      <w:tr w:rsidR="003D3D6B" w:rsidRPr="000552DD">
        <w:tc>
          <w:tcPr>
            <w:tcW w:w="70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Menschen, die aus sicheren Herkunftsländern eingereist sind bzw. einreisen wollen (z.B. Balkan)</w:t>
            </w:r>
          </w:p>
        </w:tc>
        <w:tc>
          <w:tcPr>
            <w:tcW w:w="145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Darf nicht gestellt we</w:t>
            </w:r>
            <w:r w:rsidRPr="000552DD">
              <w:rPr>
                <w:sz w:val="22"/>
                <w:szCs w:val="22"/>
              </w:rPr>
              <w:t>r</w:t>
            </w:r>
            <w:r w:rsidRPr="000552DD">
              <w:rPr>
                <w:sz w:val="22"/>
                <w:szCs w:val="22"/>
              </w:rPr>
              <w:t>den.</w:t>
            </w:r>
          </w:p>
        </w:tc>
        <w:tc>
          <w:tcPr>
            <w:tcW w:w="323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b/>
                <w:bCs/>
                <w:sz w:val="22"/>
                <w:szCs w:val="22"/>
              </w:rPr>
              <w:t>Diese Menschen haben keinen Anspruch auf Sozialleistu</w:t>
            </w:r>
            <w:r w:rsidRPr="000552DD">
              <w:rPr>
                <w:b/>
                <w:bCs/>
                <w:sz w:val="22"/>
                <w:szCs w:val="22"/>
              </w:rPr>
              <w:t>n</w:t>
            </w:r>
            <w:r w:rsidRPr="000552DD">
              <w:rPr>
                <w:b/>
                <w:bCs/>
                <w:sz w:val="22"/>
                <w:szCs w:val="22"/>
              </w:rPr>
              <w:t>gen.</w:t>
            </w:r>
            <w:r w:rsidRPr="000552DD">
              <w:rPr>
                <w:sz w:val="22"/>
                <w:szCs w:val="22"/>
              </w:rPr>
              <w:t xml:space="preserve"> </w:t>
            </w:r>
          </w:p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Aus humanitären Gründen we</w:t>
            </w:r>
            <w:r w:rsidRPr="000552DD">
              <w:rPr>
                <w:sz w:val="22"/>
                <w:szCs w:val="22"/>
              </w:rPr>
              <w:t>r</w:t>
            </w:r>
            <w:r w:rsidRPr="000552DD">
              <w:rPr>
                <w:sz w:val="22"/>
                <w:szCs w:val="22"/>
              </w:rPr>
              <w:t>den sie aber in der Form g</w:t>
            </w:r>
            <w:r w:rsidRPr="000552DD">
              <w:rPr>
                <w:sz w:val="22"/>
                <w:szCs w:val="22"/>
              </w:rPr>
              <w:t>e</w:t>
            </w:r>
            <w:r w:rsidRPr="000552DD">
              <w:rPr>
                <w:sz w:val="22"/>
                <w:szCs w:val="22"/>
              </w:rPr>
              <w:t>währt, dass sie um 10% pro Monat reduziert werden bis zum Endwert von 50% der bisherigen Leistungen. Bei erneutem Einre</w:t>
            </w:r>
            <w:r w:rsidRPr="000552DD">
              <w:rPr>
                <w:sz w:val="22"/>
                <w:szCs w:val="22"/>
              </w:rPr>
              <w:t>i</w:t>
            </w:r>
            <w:r w:rsidRPr="000552DD">
              <w:rPr>
                <w:sz w:val="22"/>
                <w:szCs w:val="22"/>
              </w:rPr>
              <w:t>seversuch werden sie an der Grenze abgewiesen.</w:t>
            </w:r>
          </w:p>
        </w:tc>
        <w:tc>
          <w:tcPr>
            <w:tcW w:w="129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Ausreise ist erlaubt</w:t>
            </w:r>
          </w:p>
        </w:tc>
      </w:tr>
      <w:tr w:rsidR="003D3D6B" w:rsidRPr="000552DD">
        <w:tc>
          <w:tcPr>
            <w:tcW w:w="70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Menschen, die aus Ländern eingereist sind bzw. einreisen wollen, in denen ihr Leben nicht mehr bedroht war</w:t>
            </w:r>
          </w:p>
        </w:tc>
        <w:tc>
          <w:tcPr>
            <w:tcW w:w="145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Darf nicht gestellt we</w:t>
            </w:r>
            <w:r w:rsidRPr="000552DD">
              <w:rPr>
                <w:sz w:val="22"/>
                <w:szCs w:val="22"/>
              </w:rPr>
              <w:t>r</w:t>
            </w:r>
            <w:r w:rsidRPr="000552DD">
              <w:rPr>
                <w:sz w:val="22"/>
                <w:szCs w:val="22"/>
              </w:rPr>
              <w:t>den.</w:t>
            </w:r>
          </w:p>
        </w:tc>
        <w:tc>
          <w:tcPr>
            <w:tcW w:w="323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b/>
                <w:bCs/>
                <w:sz w:val="22"/>
                <w:szCs w:val="22"/>
              </w:rPr>
              <w:t>Diese Menschen haben keinen Anspruch auf Sozialleistu</w:t>
            </w:r>
            <w:r w:rsidRPr="000552DD">
              <w:rPr>
                <w:b/>
                <w:bCs/>
                <w:sz w:val="22"/>
                <w:szCs w:val="22"/>
              </w:rPr>
              <w:t>n</w:t>
            </w:r>
            <w:r w:rsidRPr="000552DD">
              <w:rPr>
                <w:b/>
                <w:bCs/>
                <w:sz w:val="22"/>
                <w:szCs w:val="22"/>
              </w:rPr>
              <w:t>gen.</w:t>
            </w:r>
            <w:r w:rsidRPr="000552DD">
              <w:rPr>
                <w:sz w:val="22"/>
                <w:szCs w:val="22"/>
              </w:rPr>
              <w:t xml:space="preserve"> </w:t>
            </w:r>
          </w:p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Aus humanitären Gründen we</w:t>
            </w:r>
            <w:r w:rsidRPr="000552DD">
              <w:rPr>
                <w:sz w:val="22"/>
                <w:szCs w:val="22"/>
              </w:rPr>
              <w:t>r</w:t>
            </w:r>
            <w:r w:rsidRPr="000552DD">
              <w:rPr>
                <w:sz w:val="22"/>
                <w:szCs w:val="22"/>
              </w:rPr>
              <w:t>den sie aber in der Form g</w:t>
            </w:r>
            <w:r w:rsidRPr="000552DD">
              <w:rPr>
                <w:sz w:val="22"/>
                <w:szCs w:val="22"/>
              </w:rPr>
              <w:t>e</w:t>
            </w:r>
            <w:r w:rsidRPr="000552DD">
              <w:rPr>
                <w:sz w:val="22"/>
                <w:szCs w:val="22"/>
              </w:rPr>
              <w:t>währt, dass sie um 10% pro Monat reduziert werden bis zum Endwert von 50% der bisherigen Leistungen. Bei erneutem Einre</w:t>
            </w:r>
            <w:r w:rsidRPr="000552DD">
              <w:rPr>
                <w:sz w:val="22"/>
                <w:szCs w:val="22"/>
              </w:rPr>
              <w:t>i</w:t>
            </w:r>
            <w:r w:rsidRPr="000552DD">
              <w:rPr>
                <w:sz w:val="22"/>
                <w:szCs w:val="22"/>
              </w:rPr>
              <w:t>seversuch werden sie an der Grenze abgewiesen.</w:t>
            </w:r>
          </w:p>
        </w:tc>
        <w:tc>
          <w:tcPr>
            <w:tcW w:w="129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Ausreise ist erlaubt</w:t>
            </w:r>
          </w:p>
        </w:tc>
      </w:tr>
      <w:tr w:rsidR="003D3D6B" w:rsidRPr="000552DD">
        <w:tc>
          <w:tcPr>
            <w:tcW w:w="70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Menschen, die ohne Auswei</w:t>
            </w:r>
            <w:r w:rsidRPr="000552DD">
              <w:rPr>
                <w:sz w:val="22"/>
                <w:szCs w:val="22"/>
              </w:rPr>
              <w:t>s</w:t>
            </w:r>
            <w:r w:rsidRPr="000552DD">
              <w:rPr>
                <w:sz w:val="22"/>
                <w:szCs w:val="22"/>
              </w:rPr>
              <w:t>papiere eingereist sind bzw. einreisen wollen bzw. deren Volkszugehörigkeit nicht fes</w:t>
            </w:r>
            <w:r w:rsidRPr="000552DD">
              <w:rPr>
                <w:sz w:val="22"/>
                <w:szCs w:val="22"/>
              </w:rPr>
              <w:t>t</w:t>
            </w:r>
            <w:r w:rsidRPr="000552DD">
              <w:rPr>
                <w:sz w:val="22"/>
                <w:szCs w:val="22"/>
              </w:rPr>
              <w:t xml:space="preserve">stellbar ist. </w:t>
            </w:r>
          </w:p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(Ausnahmen gem. Nr. 1 u. 2)</w:t>
            </w:r>
          </w:p>
        </w:tc>
        <w:tc>
          <w:tcPr>
            <w:tcW w:w="145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Darf nicht gestellt we</w:t>
            </w:r>
            <w:r w:rsidRPr="000552DD">
              <w:rPr>
                <w:sz w:val="22"/>
                <w:szCs w:val="22"/>
              </w:rPr>
              <w:t>r</w:t>
            </w:r>
            <w:r w:rsidRPr="000552DD">
              <w:rPr>
                <w:sz w:val="22"/>
                <w:szCs w:val="22"/>
              </w:rPr>
              <w:t>den.</w:t>
            </w:r>
          </w:p>
        </w:tc>
        <w:tc>
          <w:tcPr>
            <w:tcW w:w="3239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b/>
                <w:bCs/>
                <w:sz w:val="22"/>
                <w:szCs w:val="22"/>
              </w:rPr>
              <w:t>Diese Menschen haben keinen Anspruch auf Sozialleistu</w:t>
            </w:r>
            <w:r w:rsidRPr="000552DD">
              <w:rPr>
                <w:b/>
                <w:bCs/>
                <w:sz w:val="22"/>
                <w:szCs w:val="22"/>
              </w:rPr>
              <w:t>n</w:t>
            </w:r>
            <w:r w:rsidRPr="000552DD">
              <w:rPr>
                <w:b/>
                <w:bCs/>
                <w:sz w:val="22"/>
                <w:szCs w:val="22"/>
              </w:rPr>
              <w:t xml:space="preserve">gen. </w:t>
            </w:r>
          </w:p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Aus humanitären Gründen we</w:t>
            </w:r>
            <w:r w:rsidRPr="000552DD">
              <w:rPr>
                <w:sz w:val="22"/>
                <w:szCs w:val="22"/>
              </w:rPr>
              <w:t>r</w:t>
            </w:r>
            <w:r w:rsidRPr="000552DD">
              <w:rPr>
                <w:sz w:val="22"/>
                <w:szCs w:val="22"/>
              </w:rPr>
              <w:t>den sie aber in der Form g</w:t>
            </w:r>
            <w:r w:rsidRPr="000552DD">
              <w:rPr>
                <w:sz w:val="22"/>
                <w:szCs w:val="22"/>
              </w:rPr>
              <w:t>e</w:t>
            </w:r>
            <w:r w:rsidRPr="000552DD">
              <w:rPr>
                <w:sz w:val="22"/>
                <w:szCs w:val="22"/>
              </w:rPr>
              <w:t>währt, dass sie um 10% pro Monat reduziert werden bis zum Endwert von 50% der bisherigen Leistungen. Bei erneutem Einre</w:t>
            </w:r>
            <w:r w:rsidRPr="000552DD">
              <w:rPr>
                <w:sz w:val="22"/>
                <w:szCs w:val="22"/>
              </w:rPr>
              <w:t>i</w:t>
            </w:r>
            <w:r w:rsidRPr="000552DD">
              <w:rPr>
                <w:sz w:val="22"/>
                <w:szCs w:val="22"/>
              </w:rPr>
              <w:t>seversuch werden sie an der Grenze abgewiesen.</w:t>
            </w:r>
          </w:p>
        </w:tc>
        <w:tc>
          <w:tcPr>
            <w:tcW w:w="1297" w:type="dxa"/>
          </w:tcPr>
          <w:p w:rsidR="003D3D6B" w:rsidRPr="000552DD" w:rsidRDefault="003D3D6B" w:rsidP="000552DD">
            <w:pPr>
              <w:spacing w:before="240" w:after="120"/>
              <w:ind w:left="-57" w:right="-170"/>
            </w:pPr>
            <w:r w:rsidRPr="000552DD">
              <w:rPr>
                <w:sz w:val="22"/>
                <w:szCs w:val="22"/>
              </w:rPr>
              <w:t>Ausreise ist erlaubt</w:t>
            </w:r>
          </w:p>
        </w:tc>
      </w:tr>
    </w:tbl>
    <w:p w:rsidR="003D3D6B" w:rsidRPr="00DB7C28" w:rsidRDefault="003D3D6B" w:rsidP="00DB7C28">
      <w:pPr>
        <w:spacing w:before="240" w:after="240"/>
        <w:ind w:right="-170"/>
      </w:pPr>
      <w:r w:rsidRPr="00DB7C28">
        <w:t>Personen, die sich Verfehlungen zuschulden kommen lassen (Diebstahl, sittliche Verfehlu</w:t>
      </w:r>
      <w:r w:rsidRPr="00DB7C28">
        <w:t>n</w:t>
      </w:r>
      <w:r w:rsidRPr="00DB7C28">
        <w:t>gen, …) werden sofort ausgewiesen.</w:t>
      </w:r>
    </w:p>
    <w:p w:rsidR="003D3D6B" w:rsidRDefault="003D3D6B" w:rsidP="002F08C7">
      <w:pPr>
        <w:spacing w:before="0"/>
        <w:ind w:right="-170"/>
        <w:rPr>
          <w:b/>
          <w:bCs/>
          <w:sz w:val="28"/>
          <w:szCs w:val="28"/>
        </w:rPr>
      </w:pPr>
    </w:p>
    <w:p w:rsidR="003D3D6B" w:rsidRPr="002F08C7" w:rsidRDefault="003D3D6B" w:rsidP="002F08C7">
      <w:pPr>
        <w:spacing w:before="0"/>
        <w:ind w:right="-170"/>
        <w:rPr>
          <w:b/>
          <w:bCs/>
          <w:sz w:val="28"/>
          <w:szCs w:val="28"/>
        </w:rPr>
      </w:pPr>
      <w:r w:rsidRPr="002F08C7">
        <w:rPr>
          <w:b/>
          <w:bCs/>
          <w:sz w:val="28"/>
          <w:szCs w:val="28"/>
        </w:rPr>
        <w:t>Diese Regelungen werden nach 12 Monaten geprüft und ggf. korrigiert</w:t>
      </w:r>
      <w:r>
        <w:rPr>
          <w:b/>
          <w:bCs/>
          <w:sz w:val="28"/>
          <w:szCs w:val="28"/>
        </w:rPr>
        <w:t>.</w:t>
      </w:r>
    </w:p>
    <w:p w:rsidR="003D3D6B" w:rsidRDefault="003D3D6B" w:rsidP="002F08C7">
      <w:pPr>
        <w:spacing w:before="0"/>
        <w:ind w:right="-170"/>
        <w:rPr>
          <w:b/>
          <w:bCs/>
          <w:sz w:val="28"/>
          <w:szCs w:val="28"/>
        </w:rPr>
      </w:pPr>
    </w:p>
    <w:p w:rsidR="003D3D6B" w:rsidRDefault="003D3D6B" w:rsidP="00AD0642">
      <w:pPr>
        <w:ind w:right="-170"/>
        <w:rPr>
          <w:b/>
          <w:bCs/>
          <w:sz w:val="28"/>
          <w:szCs w:val="28"/>
        </w:rPr>
      </w:pPr>
    </w:p>
    <w:p w:rsidR="003D3D6B" w:rsidRDefault="003D3D6B" w:rsidP="00AD0642">
      <w:pPr>
        <w:ind w:right="-170"/>
        <w:rPr>
          <w:b/>
          <w:bCs/>
          <w:sz w:val="28"/>
          <w:szCs w:val="28"/>
        </w:rPr>
      </w:pPr>
    </w:p>
    <w:p w:rsidR="003D3D6B" w:rsidRPr="00AD0642" w:rsidRDefault="003D3D6B" w:rsidP="001B1A9D">
      <w:pPr>
        <w:pBdr>
          <w:top w:val="single" w:sz="12" w:space="1" w:color="auto"/>
        </w:pBdr>
        <w:tabs>
          <w:tab w:val="right" w:pos="9638"/>
        </w:tabs>
        <w:spacing w:before="0"/>
        <w:ind w:right="-170"/>
        <w:rPr>
          <w:sz w:val="16"/>
          <w:szCs w:val="16"/>
        </w:rPr>
      </w:pPr>
      <w:r w:rsidRPr="00AD0642">
        <w:rPr>
          <w:sz w:val="16"/>
          <w:szCs w:val="16"/>
        </w:rPr>
        <w:t>Datei: A7F:\Daten\Texte\Politik\Asyl\AUSLÄNDER in Deutschland_280_Grundsätzliche Veränderungen.docx</w:t>
      </w:r>
      <w:r w:rsidRPr="00AD0642">
        <w:rPr>
          <w:sz w:val="16"/>
          <w:szCs w:val="16"/>
        </w:rPr>
        <w:tab/>
      </w:r>
      <w:bookmarkStart w:id="0" w:name="_GoBack"/>
      <w:bookmarkEnd w:id="0"/>
      <w:r w:rsidRPr="00AD0642">
        <w:rPr>
          <w:sz w:val="16"/>
          <w:szCs w:val="16"/>
        </w:rPr>
        <w:t>Stand: 10.10.2015</w:t>
      </w:r>
    </w:p>
    <w:sectPr w:rsidR="003D3D6B" w:rsidRPr="00AD0642" w:rsidSect="00731984">
      <w:pgSz w:w="11906" w:h="16838"/>
      <w:pgMar w:top="1021" w:right="851" w:bottom="1021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6B" w:rsidRDefault="003D3D6B" w:rsidP="002F08C7">
      <w:pPr>
        <w:spacing w:before="0"/>
      </w:pPr>
      <w:r>
        <w:separator/>
      </w:r>
    </w:p>
  </w:endnote>
  <w:endnote w:type="continuationSeparator" w:id="0">
    <w:p w:rsidR="003D3D6B" w:rsidRDefault="003D3D6B" w:rsidP="002F08C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6B" w:rsidRDefault="003D3D6B" w:rsidP="002F08C7">
      <w:pPr>
        <w:spacing w:before="0"/>
      </w:pPr>
      <w:r>
        <w:separator/>
      </w:r>
    </w:p>
  </w:footnote>
  <w:footnote w:type="continuationSeparator" w:id="0">
    <w:p w:rsidR="003D3D6B" w:rsidRDefault="003D3D6B" w:rsidP="002F08C7">
      <w:pPr>
        <w:spacing w:before="0"/>
      </w:pPr>
      <w:r>
        <w:continuationSeparator/>
      </w:r>
    </w:p>
  </w:footnote>
  <w:footnote w:id="1">
    <w:p w:rsidR="003D3D6B" w:rsidRDefault="003D3D6B">
      <w:pPr>
        <w:pStyle w:val="FootnoteText"/>
      </w:pPr>
      <w:r w:rsidRPr="002F08C7">
        <w:rPr>
          <w:rStyle w:val="FootnoteReference"/>
          <w:rFonts w:cs="Arial"/>
          <w:b/>
          <w:bCs/>
          <w:sz w:val="28"/>
          <w:szCs w:val="28"/>
        </w:rPr>
        <w:footnoteRef/>
      </w:r>
      <w:r>
        <w:t xml:space="preserve"> Bei den bereits eingereisten Menschen erfolgt die Prüfung (</w:t>
      </w:r>
      <w:r w:rsidRPr="001B1A9D">
        <w:rPr>
          <w:b/>
          <w:bCs/>
        </w:rPr>
        <w:t>Stelle angeben</w:t>
      </w:r>
      <w: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E31"/>
    <w:multiLevelType w:val="hybridMultilevel"/>
    <w:tmpl w:val="A76AFD08"/>
    <w:lvl w:ilvl="0" w:tplc="8E54A536">
      <w:start w:val="1"/>
      <w:numFmt w:val="upperLetter"/>
      <w:pStyle w:val="Heading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3077"/>
    <w:multiLevelType w:val="hybridMultilevel"/>
    <w:tmpl w:val="F156309C"/>
    <w:lvl w:ilvl="0" w:tplc="C232A95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76869CA"/>
    <w:multiLevelType w:val="hybridMultilevel"/>
    <w:tmpl w:val="096CEDD6"/>
    <w:lvl w:ilvl="0" w:tplc="C232A9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A41067"/>
    <w:multiLevelType w:val="hybridMultilevel"/>
    <w:tmpl w:val="BD38A91A"/>
    <w:lvl w:ilvl="0" w:tplc="54665E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6078"/>
    <w:multiLevelType w:val="hybridMultilevel"/>
    <w:tmpl w:val="6EBCB2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A1D0A78"/>
    <w:multiLevelType w:val="hybridMultilevel"/>
    <w:tmpl w:val="6316C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F80"/>
    <w:rsid w:val="000552DD"/>
    <w:rsid w:val="000D75E9"/>
    <w:rsid w:val="00171F80"/>
    <w:rsid w:val="001B1A9D"/>
    <w:rsid w:val="00222DDC"/>
    <w:rsid w:val="002413C9"/>
    <w:rsid w:val="00271695"/>
    <w:rsid w:val="002D2EB8"/>
    <w:rsid w:val="002F08C7"/>
    <w:rsid w:val="003545C9"/>
    <w:rsid w:val="003D3D6B"/>
    <w:rsid w:val="003D653C"/>
    <w:rsid w:val="003E60DC"/>
    <w:rsid w:val="003F7BB6"/>
    <w:rsid w:val="004203B4"/>
    <w:rsid w:val="004E3B87"/>
    <w:rsid w:val="00594E88"/>
    <w:rsid w:val="005C1FD6"/>
    <w:rsid w:val="005D73C5"/>
    <w:rsid w:val="005F16C2"/>
    <w:rsid w:val="005F6904"/>
    <w:rsid w:val="00623AF0"/>
    <w:rsid w:val="00731984"/>
    <w:rsid w:val="007402B1"/>
    <w:rsid w:val="007B2BC7"/>
    <w:rsid w:val="007E0673"/>
    <w:rsid w:val="00866E5F"/>
    <w:rsid w:val="009F764C"/>
    <w:rsid w:val="00A70028"/>
    <w:rsid w:val="00A71AEE"/>
    <w:rsid w:val="00AB3474"/>
    <w:rsid w:val="00AD0642"/>
    <w:rsid w:val="00B96675"/>
    <w:rsid w:val="00C049CD"/>
    <w:rsid w:val="00C37497"/>
    <w:rsid w:val="00C42A58"/>
    <w:rsid w:val="00CA77DC"/>
    <w:rsid w:val="00D22D4A"/>
    <w:rsid w:val="00D822F7"/>
    <w:rsid w:val="00DB7C28"/>
    <w:rsid w:val="00E67A03"/>
    <w:rsid w:val="00EB0CC5"/>
    <w:rsid w:val="00ED22ED"/>
    <w:rsid w:val="00F7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E9"/>
    <w:pPr>
      <w:spacing w:before="120"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474"/>
    <w:pPr>
      <w:keepNext/>
      <w:keepLines/>
      <w:numPr>
        <w:numId w:val="6"/>
      </w:numPr>
      <w:spacing w:before="360" w:after="240"/>
      <w:ind w:left="567" w:hanging="56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3474"/>
    <w:rPr>
      <w:rFonts w:ascii="Arial" w:hAnsi="Arial" w:cs="Arial"/>
      <w:b/>
      <w:bCs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B96675"/>
    <w:pPr>
      <w:pBdr>
        <w:bottom w:val="single" w:sz="8" w:space="4" w:color="4F81BD"/>
      </w:pBdr>
      <w:spacing w:before="0" w:after="300"/>
      <w:contextualSpacing/>
      <w:jc w:val="center"/>
    </w:pPr>
    <w:rPr>
      <w:rFonts w:ascii="Cambria" w:hAnsi="Cambria" w:cs="Cambria"/>
      <w:color w:val="548DD4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B96675"/>
    <w:rPr>
      <w:rFonts w:ascii="Cambria" w:hAnsi="Cambria" w:cs="Cambria"/>
      <w:color w:val="548DD4"/>
      <w:spacing w:val="5"/>
      <w:kern w:val="28"/>
      <w:sz w:val="52"/>
      <w:szCs w:val="52"/>
      <w:lang w:eastAsia="zh-CN"/>
    </w:rPr>
  </w:style>
  <w:style w:type="table" w:styleId="TableGrid">
    <w:name w:val="Table Grid"/>
    <w:basedOn w:val="TableNormal"/>
    <w:uiPriority w:val="99"/>
    <w:rsid w:val="00171F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1F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F08C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8C7"/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F08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1FD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22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2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22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22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22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22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22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22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22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22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22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2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417</Words>
  <Characters>2629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Dr. K.P.Krause</cp:lastModifiedBy>
  <cp:revision>13</cp:revision>
  <cp:lastPrinted>2015-10-11T05:18:00Z</cp:lastPrinted>
  <dcterms:created xsi:type="dcterms:W3CDTF">2015-10-11T05:11:00Z</dcterms:created>
  <dcterms:modified xsi:type="dcterms:W3CDTF">2015-10-16T13:09:00Z</dcterms:modified>
</cp:coreProperties>
</file>